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BD" w:rsidRDefault="00345BBD">
      <w:pPr>
        <w:pStyle w:val="Titulnlist"/>
        <w:ind w:left="851" w:right="851"/>
        <w:jc w:val="left"/>
        <w:rPr>
          <w:snapToGrid w:val="0"/>
        </w:rPr>
      </w:pPr>
    </w:p>
    <w:p w:rsidR="00345BBD" w:rsidRDefault="00345BBD">
      <w:pPr>
        <w:pStyle w:val="Titulnlist"/>
        <w:ind w:left="851" w:right="851"/>
        <w:jc w:val="left"/>
        <w:rPr>
          <w:snapToGrid w:val="0"/>
        </w:rPr>
      </w:pP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345BBD" w:rsidRDefault="00345BBD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Zak. číslo :</w:t>
      </w:r>
      <w:r>
        <w:rPr>
          <w:b/>
          <w:bCs/>
          <w:snapToGrid w:val="0"/>
        </w:rPr>
        <w:tab/>
        <w:t xml:space="preserve">A 25 – 10 – P </w:t>
      </w:r>
    </w:p>
    <w:p w:rsidR="00345BBD" w:rsidRDefault="00345BBD" w:rsidP="00A11804">
      <w:pPr>
        <w:pStyle w:val="Titulnlist"/>
        <w:rPr>
          <w:snapToGrid w:val="0"/>
        </w:rPr>
      </w:pPr>
    </w:p>
    <w:p w:rsidR="00345BBD" w:rsidRDefault="00345BBD" w:rsidP="00A11804">
      <w:pPr>
        <w:pStyle w:val="Titulnlist"/>
        <w:rPr>
          <w:snapToGrid w:val="0"/>
        </w:rPr>
      </w:pPr>
    </w:p>
    <w:p w:rsidR="00345BBD" w:rsidRDefault="00345BBD" w:rsidP="00A11804">
      <w:pPr>
        <w:pStyle w:val="Titulnlist"/>
        <w:rPr>
          <w:snapToGrid w:val="0"/>
        </w:rPr>
      </w:pPr>
    </w:p>
    <w:p w:rsidR="00345BBD" w:rsidRDefault="00345BBD" w:rsidP="00CE47EA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20</w:t>
      </w:r>
      <w:r>
        <w:rPr>
          <w:b/>
          <w:bCs/>
          <w:snapToGrid w:val="0"/>
          <w:sz w:val="32"/>
          <w:szCs w:val="32"/>
          <w:highlight w:val="yellow"/>
        </w:rPr>
        <w:t>5</w:t>
      </w:r>
      <w:r w:rsidRPr="00A11804">
        <w:rPr>
          <w:b/>
          <w:bCs/>
          <w:snapToGrid w:val="0"/>
          <w:sz w:val="32"/>
          <w:szCs w:val="32"/>
          <w:highlight w:val="yellow"/>
        </w:rPr>
        <w:t xml:space="preserve"> </w:t>
      </w:r>
      <w:r>
        <w:rPr>
          <w:b/>
          <w:bCs/>
          <w:snapToGrid w:val="0"/>
          <w:sz w:val="32"/>
          <w:szCs w:val="32"/>
          <w:highlight w:val="yellow"/>
        </w:rPr>
        <w:t>EPS</w:t>
      </w:r>
    </w:p>
    <w:p w:rsidR="00345BBD" w:rsidRDefault="00345BBD">
      <w:pPr>
        <w:pStyle w:val="Titulnlist"/>
        <w:rPr>
          <w:snapToGrid w:val="0"/>
        </w:rPr>
      </w:pPr>
    </w:p>
    <w:p w:rsidR="00345BBD" w:rsidRDefault="00345BBD">
      <w:pPr>
        <w:tabs>
          <w:tab w:val="left" w:pos="2410"/>
        </w:tabs>
        <w:jc w:val="center"/>
      </w:pPr>
    </w:p>
    <w:p w:rsidR="00345BBD" w:rsidRDefault="00345BBD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345BBD" w:rsidRPr="00971ABE" w:rsidRDefault="00345BBD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345BBD" w:rsidRDefault="00345BBD">
      <w:pPr>
        <w:tabs>
          <w:tab w:val="left" w:pos="2410"/>
        </w:tabs>
        <w:jc w:val="center"/>
      </w:pPr>
    </w:p>
    <w:p w:rsidR="00345BBD" w:rsidRDefault="00345BBD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345BBD" w:rsidRDefault="00345BBD">
      <w:pPr>
        <w:pStyle w:val="Titulnlist"/>
        <w:rPr>
          <w:snapToGrid w:val="0"/>
        </w:rPr>
      </w:pPr>
    </w:p>
    <w:p w:rsidR="00345BBD" w:rsidRDefault="00345BBD">
      <w:pPr>
        <w:pStyle w:val="Titulnlist"/>
        <w:rPr>
          <w:snapToGrid w:val="0"/>
        </w:rPr>
      </w:pPr>
    </w:p>
    <w:p w:rsidR="00345BBD" w:rsidRDefault="00345BBD">
      <w:pPr>
        <w:pStyle w:val="Titulnlist"/>
        <w:rPr>
          <w:snapToGrid w:val="0"/>
        </w:rPr>
      </w:pPr>
    </w:p>
    <w:p w:rsidR="00345BBD" w:rsidRDefault="00345BBD">
      <w:pPr>
        <w:pStyle w:val="Titulnlist"/>
        <w:rPr>
          <w:snapToGrid w:val="0"/>
        </w:rPr>
      </w:pPr>
    </w:p>
    <w:p w:rsidR="00345BBD" w:rsidRDefault="00345BBD">
      <w:pPr>
        <w:pStyle w:val="Titulnlist"/>
        <w:rPr>
          <w:snapToGrid w:val="0"/>
        </w:rPr>
      </w:pPr>
    </w:p>
    <w:p w:rsidR="00345BBD" w:rsidRPr="00A644C7" w:rsidRDefault="00345BBD" w:rsidP="006A4886">
      <w:pPr>
        <w:rPr>
          <w:b/>
          <w:bCs/>
          <w:sz w:val="28"/>
          <w:szCs w:val="28"/>
          <w:highlight w:val="red"/>
        </w:rPr>
      </w:pPr>
      <w:r>
        <w:rPr>
          <w:snapToGrid w:val="0"/>
        </w:rPr>
        <w:br w:type="page"/>
      </w:r>
      <w:r w:rsidRPr="00A644C7">
        <w:rPr>
          <w:b/>
          <w:bCs/>
          <w:sz w:val="28"/>
          <w:szCs w:val="28"/>
        </w:rPr>
        <w:t xml:space="preserve">Standardy </w:t>
      </w:r>
      <w:r>
        <w:rPr>
          <w:b/>
          <w:bCs/>
          <w:sz w:val="28"/>
          <w:szCs w:val="28"/>
        </w:rPr>
        <w:t>pro PS 205 EPS</w:t>
      </w:r>
    </w:p>
    <w:p w:rsidR="00345BBD" w:rsidRPr="00A26456" w:rsidRDefault="00345BBD" w:rsidP="006A4886">
      <w:pPr>
        <w:rPr>
          <w:b/>
          <w:bCs/>
          <w:highlight w:val="red"/>
        </w:rPr>
      </w:pP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 xml:space="preserve">ČSN EN 54-1          </w:t>
      </w:r>
      <w:r w:rsidRPr="00B524A9">
        <w:rPr>
          <w:rFonts w:cs="Arial"/>
          <w:highlight w:val="red"/>
        </w:rPr>
        <w:tab/>
        <w:t>Elektrická požární signalizace – Část 1: Úvod</w:t>
      </w: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 xml:space="preserve">ČSN EN 54-2          </w:t>
      </w:r>
      <w:r w:rsidRPr="00B524A9">
        <w:rPr>
          <w:rFonts w:cs="Arial"/>
          <w:highlight w:val="red"/>
        </w:rPr>
        <w:tab/>
        <w:t>Elektrická požární signalizace - Část 2: Ústředna</w:t>
      </w: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 xml:space="preserve">ČSN EN 54-4           </w:t>
      </w:r>
      <w:r w:rsidRPr="00B524A9">
        <w:rPr>
          <w:rFonts w:cs="Arial"/>
          <w:highlight w:val="red"/>
        </w:rPr>
        <w:tab/>
        <w:t>Elektrická požární signalizace - Část 4: Napájecí zdroj</w:t>
      </w:r>
    </w:p>
    <w:p w:rsidR="00345BBD" w:rsidRPr="00B524A9" w:rsidRDefault="00345BBD" w:rsidP="00B524A9">
      <w:pPr>
        <w:tabs>
          <w:tab w:val="left" w:pos="2880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 xml:space="preserve">ČSN EN 54-5,7,10      </w:t>
      </w:r>
      <w:r w:rsidRPr="00B524A9">
        <w:rPr>
          <w:rFonts w:cs="Arial"/>
          <w:highlight w:val="red"/>
        </w:rPr>
        <w:tab/>
        <w:t xml:space="preserve"> Elektrická požární signalizace - Část 5,7,10: Bodové hlásiče</w:t>
      </w:r>
    </w:p>
    <w:p w:rsidR="00345BBD" w:rsidRPr="00B524A9" w:rsidRDefault="00345BBD" w:rsidP="00B524A9">
      <w:pPr>
        <w:tabs>
          <w:tab w:val="left" w:pos="2880"/>
        </w:tabs>
        <w:ind w:left="3960" w:hanging="3960"/>
        <w:rPr>
          <w:rFonts w:cs="Arial"/>
          <w:highlight w:val="red"/>
        </w:rPr>
      </w:pPr>
      <w:r w:rsidRPr="00B524A9">
        <w:rPr>
          <w:rFonts w:cs="Arial"/>
          <w:highlight w:val="red"/>
        </w:rPr>
        <w:t>ČSN EN 54-13</w:t>
      </w:r>
      <w:r w:rsidRPr="00B524A9">
        <w:rPr>
          <w:rFonts w:cs="Arial"/>
          <w:highlight w:val="red"/>
        </w:rPr>
        <w:tab/>
        <w:t xml:space="preserve"> Systémové požadavky </w:t>
      </w:r>
      <w:r w:rsidRPr="00B524A9">
        <w:rPr>
          <w:rFonts w:cs="Arial"/>
          <w:highlight w:val="red"/>
        </w:rPr>
        <w:tab/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Pr="00B524A9" w:rsidRDefault="00345BBD" w:rsidP="00B524A9">
      <w:pPr>
        <w:pStyle w:val="BodyText2"/>
        <w:tabs>
          <w:tab w:val="left" w:pos="2977"/>
        </w:tabs>
        <w:ind w:left="0" w:right="-1" w:firstLine="0"/>
        <w:rPr>
          <w:b/>
          <w:bCs/>
          <w:highlight w:val="red"/>
        </w:rPr>
      </w:pPr>
    </w:p>
    <w:p w:rsidR="00345BBD" w:rsidRPr="00B524A9" w:rsidRDefault="00345BBD" w:rsidP="00B524A9">
      <w:pPr>
        <w:pStyle w:val="BodyText2"/>
        <w:tabs>
          <w:tab w:val="left" w:pos="3960"/>
        </w:tabs>
        <w:ind w:left="0" w:right="-1" w:firstLine="0"/>
        <w:rPr>
          <w:b/>
          <w:bCs/>
          <w:highlight w:val="red"/>
        </w:rPr>
      </w:pPr>
      <w:r w:rsidRPr="00B524A9">
        <w:rPr>
          <w:b/>
          <w:bCs/>
          <w:highlight w:val="red"/>
        </w:rPr>
        <w:t xml:space="preserve">ČSN 33 20 00          Základní ustanovení pro elektrická zařízení </w:t>
      </w:r>
    </w:p>
    <w:p w:rsidR="00345BBD" w:rsidRPr="00B524A9" w:rsidRDefault="00345BBD" w:rsidP="00B524A9">
      <w:pPr>
        <w:pStyle w:val="BodyText2"/>
        <w:tabs>
          <w:tab w:val="left" w:pos="3960"/>
        </w:tabs>
        <w:ind w:left="0" w:right="-1" w:firstLine="0"/>
        <w:rPr>
          <w:b/>
          <w:bCs/>
          <w:highlight w:val="red"/>
        </w:rPr>
      </w:pPr>
      <w:r w:rsidRPr="00B524A9">
        <w:rPr>
          <w:b/>
          <w:bCs/>
          <w:highlight w:val="red"/>
        </w:rPr>
        <w:t>ČSN 33 20 00-3      Stanovení základních charakteristik</w:t>
      </w:r>
    </w:p>
    <w:p w:rsidR="00345BBD" w:rsidRPr="00B524A9" w:rsidRDefault="00345BBD" w:rsidP="00B524A9">
      <w:pPr>
        <w:pStyle w:val="BodyText2"/>
        <w:tabs>
          <w:tab w:val="left" w:pos="2977"/>
        </w:tabs>
        <w:ind w:left="0" w:right="-1" w:firstLine="0"/>
        <w:rPr>
          <w:b/>
          <w:bCs/>
          <w:highlight w:val="red"/>
        </w:rPr>
      </w:pPr>
      <w:r w:rsidRPr="00B524A9">
        <w:rPr>
          <w:b/>
          <w:bCs/>
          <w:highlight w:val="red"/>
        </w:rPr>
        <w:t>ČSN 33 20 00-4-47  Použití ochranných opatření pro zajištění bezpečnosti</w:t>
      </w:r>
    </w:p>
    <w:p w:rsidR="00345BBD" w:rsidRPr="00B524A9" w:rsidRDefault="00345BBD" w:rsidP="00B524A9">
      <w:pPr>
        <w:pStyle w:val="BodyText2"/>
        <w:tabs>
          <w:tab w:val="left" w:pos="567"/>
          <w:tab w:val="left" w:pos="2977"/>
        </w:tabs>
        <w:ind w:left="2160" w:hanging="2160"/>
        <w:rPr>
          <w:b/>
          <w:bCs/>
          <w:highlight w:val="red"/>
        </w:rPr>
      </w:pPr>
      <w:r w:rsidRPr="00B524A9">
        <w:rPr>
          <w:b/>
          <w:bCs/>
          <w:highlight w:val="red"/>
        </w:rPr>
        <w:t>ČSN 33 20 00-6-61  Elektrotechnické předpisy ČSN. Elektrická zařízení. Část 6: Revize. Kapitola 61: Postupy při výchozí revizi (1.2.1994)</w:t>
      </w:r>
    </w:p>
    <w:p w:rsidR="00345BBD" w:rsidRPr="00B524A9" w:rsidRDefault="00345BBD" w:rsidP="00B524A9">
      <w:pPr>
        <w:pStyle w:val="BodyText2"/>
        <w:tabs>
          <w:tab w:val="left" w:pos="2880"/>
          <w:tab w:val="left" w:pos="2977"/>
        </w:tabs>
        <w:ind w:left="0" w:firstLine="0"/>
        <w:rPr>
          <w:b/>
          <w:bCs/>
          <w:highlight w:val="red"/>
        </w:rPr>
      </w:pPr>
      <w:r w:rsidRPr="00B524A9">
        <w:rPr>
          <w:b/>
          <w:bCs/>
          <w:highlight w:val="red"/>
        </w:rPr>
        <w:t>ČSN 34 31 00          Bezpečnostní předpisy pro obsluhu a práci na elektrických zařízeních</w:t>
      </w:r>
    </w:p>
    <w:p w:rsidR="00345BBD" w:rsidRPr="00B524A9" w:rsidRDefault="00345BBD" w:rsidP="00B524A9">
      <w:pPr>
        <w:rPr>
          <w:rFonts w:cs="Arial"/>
          <w:highlight w:val="red"/>
        </w:rPr>
      </w:pPr>
      <w:r w:rsidRPr="00B524A9">
        <w:rPr>
          <w:rFonts w:cs="Arial"/>
          <w:highlight w:val="red"/>
        </w:rPr>
        <w:t xml:space="preserve">ČSN  342300           Slaboproudé rozvody </w:t>
      </w:r>
    </w:p>
    <w:p w:rsidR="00345BBD" w:rsidRPr="00B524A9" w:rsidRDefault="00345BBD" w:rsidP="00B524A9">
      <w:pPr>
        <w:ind w:left="2160" w:hanging="2160"/>
        <w:rPr>
          <w:rFonts w:cs="Arial"/>
          <w:highlight w:val="red"/>
        </w:rPr>
      </w:pPr>
      <w:r w:rsidRPr="00B524A9">
        <w:rPr>
          <w:rFonts w:cs="Arial"/>
          <w:highlight w:val="red"/>
        </w:rPr>
        <w:t xml:space="preserve">ČSN EN 50174-1     Informační technika – instalace kabelových rozvodů  Část1:  Specifikace a zabezpečení kvality </w:t>
      </w:r>
    </w:p>
    <w:p w:rsidR="00345BBD" w:rsidRPr="00B524A9" w:rsidRDefault="00345BBD" w:rsidP="00B524A9">
      <w:pPr>
        <w:rPr>
          <w:rFonts w:cs="Arial"/>
          <w:highlight w:val="red"/>
        </w:rPr>
      </w:pPr>
      <w:r w:rsidRPr="00B524A9">
        <w:rPr>
          <w:rFonts w:cs="Arial"/>
          <w:highlight w:val="red"/>
        </w:rPr>
        <w:t>ČSN EN 50174-2     Informační technika – instalace kabelových rozvodů</w:t>
      </w:r>
    </w:p>
    <w:p w:rsidR="00345BBD" w:rsidRPr="00B524A9" w:rsidRDefault="00345BBD" w:rsidP="00B524A9">
      <w:pPr>
        <w:rPr>
          <w:rFonts w:cs="Arial"/>
          <w:highlight w:val="red"/>
        </w:rPr>
      </w:pPr>
      <w:r w:rsidRPr="00B524A9">
        <w:rPr>
          <w:rFonts w:cs="Arial"/>
          <w:highlight w:val="red"/>
        </w:rPr>
        <w:t>Část 2:                     Plánování instalace a postupy v budovách</w:t>
      </w:r>
    </w:p>
    <w:p w:rsidR="00345BBD" w:rsidRPr="00B524A9" w:rsidRDefault="00345BBD" w:rsidP="00B524A9">
      <w:pPr>
        <w:pStyle w:val="BodyText2"/>
        <w:tabs>
          <w:tab w:val="left" w:pos="2880"/>
          <w:tab w:val="left" w:pos="2977"/>
        </w:tabs>
        <w:ind w:left="0" w:firstLine="0"/>
        <w:rPr>
          <w:b/>
          <w:bCs/>
          <w:highlight w:val="red"/>
        </w:rPr>
      </w:pPr>
      <w:r w:rsidRPr="00B524A9">
        <w:rPr>
          <w:b/>
          <w:bCs/>
          <w:highlight w:val="red"/>
        </w:rPr>
        <w:t>ČSN 73 0802-1998     Požární bezpečnost staveb (1.2.1998) – Změna 1</w:t>
      </w: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>ČSN IEC 331/332    Zkoušky el. kabelů v podmínkách požáru</w:t>
      </w: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>ČSN 34 2710           Předpisy pro zařízení elektrické požární signalizace</w:t>
      </w: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>ČSN 730875            Navrhování elektrické požární signalizace</w:t>
      </w:r>
    </w:p>
    <w:p w:rsidR="00345BBD" w:rsidRPr="00B524A9" w:rsidRDefault="00345BBD" w:rsidP="00B524A9">
      <w:pPr>
        <w:tabs>
          <w:tab w:val="left" w:pos="2977"/>
        </w:tabs>
        <w:rPr>
          <w:rFonts w:cs="Arial"/>
          <w:highlight w:val="red"/>
        </w:rPr>
      </w:pPr>
      <w:r w:rsidRPr="00B524A9">
        <w:rPr>
          <w:rFonts w:cs="Arial"/>
          <w:highlight w:val="red"/>
        </w:rPr>
        <w:t>ČSN EN 54-13         Posouzení kompatibility komponentů systému</w:t>
      </w:r>
    </w:p>
    <w:p w:rsidR="00345BBD" w:rsidRPr="00B524A9" w:rsidRDefault="00345BBD" w:rsidP="00B524A9">
      <w:pPr>
        <w:ind w:left="2160" w:hanging="2160"/>
        <w:jc w:val="both"/>
        <w:rPr>
          <w:rFonts w:cs="Arial"/>
          <w:highlight w:val="red"/>
        </w:rPr>
      </w:pPr>
      <w:r w:rsidRPr="00B524A9">
        <w:rPr>
          <w:rFonts w:cs="Arial"/>
          <w:highlight w:val="red"/>
        </w:rPr>
        <w:t>ČSN P CEN/TS 54-14 Elektrická požární signalizace Část 14: Návody pro plánování, projektování, montáž, uvedení do provozu, používání a údržbu</w:t>
      </w:r>
    </w:p>
    <w:p w:rsidR="00345BBD" w:rsidRPr="00B524A9" w:rsidRDefault="00345BBD" w:rsidP="00B524A9">
      <w:pPr>
        <w:ind w:right="-1"/>
        <w:rPr>
          <w:rFonts w:cs="Arial"/>
          <w:highlight w:val="red"/>
        </w:rPr>
      </w:pPr>
      <w:r w:rsidRPr="00B524A9">
        <w:rPr>
          <w:rFonts w:cs="Arial"/>
          <w:highlight w:val="red"/>
        </w:rPr>
        <w:t>Vyhláška 246 /2001 sb. o požární prevenci</w:t>
      </w:r>
    </w:p>
    <w:p w:rsidR="00345BBD" w:rsidRPr="00B524A9" w:rsidRDefault="00345BBD" w:rsidP="00B524A9">
      <w:pPr>
        <w:ind w:right="-1"/>
        <w:rPr>
          <w:rFonts w:cs="Arial"/>
          <w:highlight w:val="red"/>
        </w:rPr>
      </w:pPr>
      <w:r w:rsidRPr="00B524A9">
        <w:rPr>
          <w:rFonts w:cs="Arial"/>
          <w:highlight w:val="red"/>
        </w:rPr>
        <w:t>Vyhláška 23/2008 o technických podmínkách požární ochrany staveb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Default="00345BBD" w:rsidP="00B524A9">
      <w:pPr>
        <w:tabs>
          <w:tab w:val="left" w:pos="3960"/>
        </w:tabs>
        <w:ind w:left="3960" w:hanging="3600"/>
        <w:rPr>
          <w:snapToGrid w:val="0"/>
          <w:highlight w:val="red"/>
        </w:rPr>
      </w:pP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ascii="Arial" w:hAnsi="Arial"/>
          <w:highlight w:val="red"/>
        </w:rPr>
      </w:pPr>
    </w:p>
    <w:p w:rsidR="00345BBD" w:rsidRPr="00B524A9" w:rsidRDefault="00345BBD" w:rsidP="00B524A9">
      <w:pPr>
        <w:pStyle w:val="Heading2"/>
        <w:numPr>
          <w:ilvl w:val="0"/>
          <w:numId w:val="0"/>
        </w:numPr>
        <w:rPr>
          <w:rFonts w:cs="Arial"/>
          <w:b/>
          <w:bCs/>
          <w:snapToGrid w:val="0"/>
          <w:sz w:val="24"/>
          <w:szCs w:val="24"/>
          <w:u w:val="none"/>
        </w:rPr>
      </w:pPr>
      <w:r w:rsidRPr="00B524A9">
        <w:rPr>
          <w:rFonts w:cs="Arial"/>
          <w:b/>
          <w:bCs/>
          <w:snapToGrid w:val="0"/>
          <w:sz w:val="24"/>
          <w:szCs w:val="24"/>
          <w:u w:val="none"/>
        </w:rPr>
        <w:t>Sdělovací rozvody</w:t>
      </w:r>
    </w:p>
    <w:p w:rsidR="00345BBD" w:rsidRPr="00B524A9" w:rsidRDefault="00345BBD" w:rsidP="00B524A9">
      <w:pPr>
        <w:pStyle w:val="Heading3"/>
        <w:numPr>
          <w:ilvl w:val="0"/>
          <w:numId w:val="20"/>
        </w:numPr>
        <w:rPr>
          <w:rFonts w:cs="Arial"/>
          <w:highlight w:val="red"/>
        </w:rPr>
      </w:pPr>
      <w:r w:rsidRPr="00B524A9">
        <w:rPr>
          <w:rFonts w:cs="Arial"/>
          <w:highlight w:val="red"/>
        </w:rPr>
        <w:t>Standard pro provedení rozvodů</w:t>
      </w:r>
    </w:p>
    <w:p w:rsidR="00345BBD" w:rsidRPr="00B524A9" w:rsidRDefault="00345BBD" w:rsidP="00B524A9">
      <w:pPr>
        <w:pStyle w:val="Normln1"/>
        <w:ind w:left="360" w:firstLine="0"/>
        <w:rPr>
          <w:rFonts w:cs="Arial"/>
          <w:highlight w:val="red"/>
        </w:rPr>
      </w:pPr>
      <w:r w:rsidRPr="00B524A9">
        <w:rPr>
          <w:rFonts w:cs="Arial"/>
          <w:highlight w:val="red"/>
        </w:rPr>
        <w:t>ČSN 33 2000-4-41, ČSN 33 2000-4-47, ČSN 33 2000-6-61,  ČSN 33 2000-5-51, ČSN 33 2000-5-52, ČSN 34 2300, ČSN EN 50173-1, ČSN EN 50174-1, ČSN EN 50174-2, ČSN 73 6005.</w:t>
      </w:r>
    </w:p>
    <w:p w:rsidR="00345BBD" w:rsidRPr="00B524A9" w:rsidRDefault="00345BBD" w:rsidP="00B524A9">
      <w:pPr>
        <w:pStyle w:val="Heading3"/>
        <w:rPr>
          <w:rFonts w:cs="Arial"/>
          <w:highlight w:val="red"/>
        </w:rPr>
      </w:pPr>
      <w:r w:rsidRPr="00B524A9">
        <w:rPr>
          <w:rFonts w:cs="Arial"/>
          <w:highlight w:val="red"/>
        </w:rPr>
        <w:t>Standardy pro sdělovací kabely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>J-Y(St)Y</w:t>
      </w:r>
      <w:r w:rsidRPr="00B524A9">
        <w:rPr>
          <w:rFonts w:cs="Arial"/>
          <w:highlight w:val="red"/>
        </w:rPr>
        <w:tab/>
        <w:t>techn. podmínky – TPF 2184/04, VDE 815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>značení žil – VDE 815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>odolnost proti šíření plamene – ČSN EN 50265-2-2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>techn. podmínky – TPF 02/06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>J-H(St)H, SHKFH-R</w:t>
      </w:r>
      <w:r w:rsidRPr="00B524A9">
        <w:rPr>
          <w:rFonts w:cs="Arial"/>
          <w:highlight w:val="red"/>
        </w:rPr>
        <w:tab/>
        <w:t>hustota dýmu – ČSN EN 50268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>korozivita splodin – ČSN EN 50267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>odolnost proti šíření plamene – ČSN EN 50266-2-2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>funkční schopnost v ohni – ČSN IEC 60331-21</w:t>
      </w: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Pr="00B524A9" w:rsidRDefault="00345BBD" w:rsidP="00B524A9">
      <w:pPr>
        <w:tabs>
          <w:tab w:val="left" w:pos="3960"/>
        </w:tabs>
        <w:ind w:left="3960" w:hanging="3600"/>
        <w:rPr>
          <w:rFonts w:cs="Arial"/>
          <w:highlight w:val="red"/>
        </w:rPr>
      </w:pPr>
    </w:p>
    <w:p w:rsidR="00345BBD" w:rsidRPr="00B524A9" w:rsidRDefault="00345BBD" w:rsidP="00B524A9">
      <w:pPr>
        <w:tabs>
          <w:tab w:val="left" w:pos="360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>JCXFE-V</w:t>
      </w:r>
      <w:r w:rsidRPr="00B524A9">
        <w:rPr>
          <w:rFonts w:cs="Arial"/>
          <w:highlight w:val="red"/>
        </w:rPr>
        <w:tab/>
        <w:t xml:space="preserve">     techn. podmínky – TPF 02/06</w:t>
      </w:r>
    </w:p>
    <w:p w:rsidR="00345BBD" w:rsidRPr="00B524A9" w:rsidRDefault="00345BBD" w:rsidP="00B524A9">
      <w:pPr>
        <w:tabs>
          <w:tab w:val="left" w:pos="360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 xml:space="preserve">     hustota dýmu – ČSN EN 50268</w:t>
      </w:r>
    </w:p>
    <w:p w:rsidR="00345BBD" w:rsidRPr="00B524A9" w:rsidRDefault="00345BBD" w:rsidP="00B524A9">
      <w:pPr>
        <w:tabs>
          <w:tab w:val="left" w:pos="360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 xml:space="preserve">     korozivita splodin – ČSN EN 50267</w:t>
      </w:r>
    </w:p>
    <w:p w:rsidR="00345BBD" w:rsidRPr="00B524A9" w:rsidRDefault="00345BBD" w:rsidP="00B524A9">
      <w:pPr>
        <w:tabs>
          <w:tab w:val="left" w:pos="3600"/>
        </w:tabs>
        <w:ind w:left="3960" w:hanging="3600"/>
        <w:rPr>
          <w:rFonts w:cs="Arial"/>
          <w:highlight w:val="red"/>
        </w:rPr>
      </w:pPr>
      <w:r w:rsidRPr="00B524A9">
        <w:rPr>
          <w:rFonts w:cs="Arial"/>
          <w:highlight w:val="red"/>
        </w:rPr>
        <w:tab/>
        <w:t xml:space="preserve">     odolnost proti šíření plamene – ČSN EN 50266-2-2</w:t>
      </w:r>
    </w:p>
    <w:p w:rsidR="00345BBD" w:rsidRPr="007066F5" w:rsidRDefault="00345BBD" w:rsidP="00B524A9">
      <w:pPr>
        <w:tabs>
          <w:tab w:val="left" w:pos="3600"/>
        </w:tabs>
        <w:ind w:left="3960" w:hanging="3600"/>
        <w:rPr>
          <w:rFonts w:cs="Arial"/>
        </w:rPr>
      </w:pPr>
      <w:r w:rsidRPr="00B524A9">
        <w:rPr>
          <w:rFonts w:cs="Arial"/>
          <w:highlight w:val="red"/>
        </w:rPr>
        <w:tab/>
        <w:t xml:space="preserve">     funkční schopnost v ohni – ČSN IEC 60331-21</w:t>
      </w:r>
    </w:p>
    <w:p w:rsidR="00345BBD" w:rsidRPr="007066F5" w:rsidRDefault="00345BBD" w:rsidP="00B524A9">
      <w:pPr>
        <w:pStyle w:val="Heading2"/>
        <w:numPr>
          <w:ilvl w:val="0"/>
          <w:numId w:val="0"/>
        </w:numPr>
        <w:tabs>
          <w:tab w:val="left" w:pos="708"/>
        </w:tabs>
        <w:rPr>
          <w:snapToGrid w:val="0"/>
        </w:rPr>
      </w:pPr>
    </w:p>
    <w:p w:rsidR="00345BBD" w:rsidRDefault="00345BBD" w:rsidP="00B524A9">
      <w:pPr>
        <w:rPr>
          <w:snapToGrid w:val="0"/>
        </w:rPr>
      </w:pPr>
    </w:p>
    <w:sectPr w:rsidR="00345BBD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BBD" w:rsidRDefault="00345BBD">
      <w:r>
        <w:separator/>
      </w:r>
    </w:p>
  </w:endnote>
  <w:endnote w:type="continuationSeparator" w:id="0">
    <w:p w:rsidR="00345BBD" w:rsidRDefault="0034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BBD" w:rsidRDefault="00345BBD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345BBD" w:rsidRDefault="00345BBD" w:rsidP="00327826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>
      <w:rPr>
        <w:rStyle w:val="PageNumber"/>
        <w:b/>
        <w:bCs/>
        <w:sz w:val="18"/>
        <w:szCs w:val="18"/>
      </w:rPr>
      <w:fldChar w:fldCharType="begin"/>
    </w:r>
    <w:r>
      <w:rPr>
        <w:rStyle w:val="PageNumber"/>
        <w:b/>
        <w:bCs/>
        <w:sz w:val="18"/>
        <w:szCs w:val="18"/>
      </w:rPr>
      <w:instrText xml:space="preserve"> PAGE </w:instrText>
    </w:r>
    <w:r>
      <w:rPr>
        <w:rStyle w:val="PageNumber"/>
        <w:b/>
        <w:bCs/>
        <w:sz w:val="18"/>
        <w:szCs w:val="18"/>
      </w:rPr>
      <w:fldChar w:fldCharType="separate"/>
    </w:r>
    <w:r>
      <w:rPr>
        <w:rStyle w:val="PageNumber"/>
        <w:b/>
        <w:bCs/>
        <w:noProof/>
        <w:sz w:val="18"/>
        <w:szCs w:val="18"/>
      </w:rPr>
      <w:t>2</w:t>
    </w:r>
    <w:r>
      <w:rPr>
        <w:rStyle w:val="PageNumber"/>
        <w:b/>
        <w:bCs/>
        <w:sz w:val="18"/>
        <w:szCs w:val="18"/>
      </w:rPr>
      <w:fldChar w:fldCharType="end"/>
    </w:r>
    <w:r>
      <w:rPr>
        <w:rStyle w:val="PageNumber"/>
        <w:b/>
        <w:bCs/>
        <w:sz w:val="18"/>
        <w:szCs w:val="18"/>
      </w:rPr>
      <w:t>/</w:t>
    </w:r>
    <w:fldSimple w:instr=" SECTIONPAGES  \* MERGEFORMAT ">
      <w:r w:rsidRPr="00B524A9">
        <w:rPr>
          <w:b/>
          <w:bCs/>
          <w:noProof/>
          <w:sz w:val="18"/>
          <w:szCs w:val="18"/>
        </w:rPr>
        <w:t>3</w:t>
      </w:r>
    </w:fldSimple>
  </w:p>
  <w:p w:rsidR="00345BBD" w:rsidRDefault="00345BBD">
    <w:pPr>
      <w:pStyle w:val="Foot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BBD" w:rsidRDefault="00345BBD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Marek Havlín</w:t>
    </w:r>
  </w:p>
  <w:p w:rsidR="00345BBD" w:rsidRDefault="00345BBD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345BBD" w:rsidRDefault="00345BBD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BBD" w:rsidRDefault="00345BBD">
      <w:r>
        <w:separator/>
      </w:r>
    </w:p>
  </w:footnote>
  <w:footnote w:type="continuationSeparator" w:id="0">
    <w:p w:rsidR="00345BBD" w:rsidRDefault="00345B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BBD" w:rsidRDefault="00345BBD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345BBD" w:rsidRDefault="00345BBD">
    <w:pPr>
      <w:pStyle w:val="Header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BBD" w:rsidRDefault="00345BBD" w:rsidP="00B14207">
    <w:pPr>
      <w:pStyle w:val="Header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32pt;height:36pt">
          <v:imagedata r:id="rId1" o:title=""/>
        </v:shape>
      </w:pict>
    </w:r>
  </w:p>
  <w:p w:rsidR="00345BBD" w:rsidRDefault="00345BBD" w:rsidP="00B14207">
    <w:pPr>
      <w:pStyle w:val="Header"/>
      <w:rPr>
        <w:sz w:val="18"/>
        <w:szCs w:val="18"/>
      </w:rPr>
    </w:pPr>
  </w:p>
  <w:p w:rsidR="00345BBD" w:rsidRDefault="00345BBD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Heading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Heading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3B72289"/>
    <w:multiLevelType w:val="singleLevel"/>
    <w:tmpl w:val="FE1C41B8"/>
    <w:lvl w:ilvl="0">
      <w:start w:val="1"/>
      <w:numFmt w:val="low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460672"/>
    <w:multiLevelType w:val="singleLevel"/>
    <w:tmpl w:val="E8F45D1C"/>
    <w:lvl w:ilvl="0">
      <w:start w:val="1"/>
      <w:numFmt w:val="bullet"/>
      <w:pStyle w:val="Heading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7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13"/>
    <w:lvlOverride w:ilvl="0">
      <w:startOverride w:val="1"/>
    </w:lvlOverride>
  </w:num>
  <w:num w:numId="21">
    <w:abstractNumId w:val="7"/>
  </w:num>
  <w:num w:numId="22">
    <w:abstractNumId w:val="13"/>
  </w:num>
  <w:num w:numId="23">
    <w:abstractNumId w:val="0"/>
    <w:lvlOverride w:ilvl="0">
      <w:lvl w:ilvl="0">
        <w:start w:val="1"/>
        <w:numFmt w:val="bullet"/>
        <w:pStyle w:val="Heading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5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52738"/>
    <w:rsid w:val="000A3B11"/>
    <w:rsid w:val="000E248F"/>
    <w:rsid w:val="00145CF4"/>
    <w:rsid w:val="0016461C"/>
    <w:rsid w:val="001727E6"/>
    <w:rsid w:val="00187DF6"/>
    <w:rsid w:val="001D2F6E"/>
    <w:rsid w:val="00256BFB"/>
    <w:rsid w:val="002C0651"/>
    <w:rsid w:val="002E0C44"/>
    <w:rsid w:val="00327826"/>
    <w:rsid w:val="00345BBD"/>
    <w:rsid w:val="00353F94"/>
    <w:rsid w:val="003777DA"/>
    <w:rsid w:val="003B3B49"/>
    <w:rsid w:val="003F6C62"/>
    <w:rsid w:val="00461578"/>
    <w:rsid w:val="004C0F75"/>
    <w:rsid w:val="004C2FCE"/>
    <w:rsid w:val="004C59F0"/>
    <w:rsid w:val="004E096B"/>
    <w:rsid w:val="004E5373"/>
    <w:rsid w:val="00532BB9"/>
    <w:rsid w:val="00556CCC"/>
    <w:rsid w:val="005A67DC"/>
    <w:rsid w:val="005C2972"/>
    <w:rsid w:val="005E48B7"/>
    <w:rsid w:val="0060059F"/>
    <w:rsid w:val="0060194C"/>
    <w:rsid w:val="00610FB9"/>
    <w:rsid w:val="006271EA"/>
    <w:rsid w:val="00627BC8"/>
    <w:rsid w:val="0063242D"/>
    <w:rsid w:val="006A4886"/>
    <w:rsid w:val="006C04CF"/>
    <w:rsid w:val="006C4AB8"/>
    <w:rsid w:val="006E0801"/>
    <w:rsid w:val="007006B5"/>
    <w:rsid w:val="00701BDC"/>
    <w:rsid w:val="007066F5"/>
    <w:rsid w:val="007C71FB"/>
    <w:rsid w:val="007F4826"/>
    <w:rsid w:val="008D15D4"/>
    <w:rsid w:val="00921CAA"/>
    <w:rsid w:val="00971ABE"/>
    <w:rsid w:val="009D6F2C"/>
    <w:rsid w:val="009E00D9"/>
    <w:rsid w:val="009F5803"/>
    <w:rsid w:val="00A11804"/>
    <w:rsid w:val="00A20A96"/>
    <w:rsid w:val="00A20CE1"/>
    <w:rsid w:val="00A26456"/>
    <w:rsid w:val="00A2721F"/>
    <w:rsid w:val="00A621BE"/>
    <w:rsid w:val="00A644C7"/>
    <w:rsid w:val="00A76132"/>
    <w:rsid w:val="00A809A6"/>
    <w:rsid w:val="00B14207"/>
    <w:rsid w:val="00B524A9"/>
    <w:rsid w:val="00B70B31"/>
    <w:rsid w:val="00B86843"/>
    <w:rsid w:val="00B90E95"/>
    <w:rsid w:val="00BA4BE6"/>
    <w:rsid w:val="00BB5E9D"/>
    <w:rsid w:val="00BD6839"/>
    <w:rsid w:val="00BF1A66"/>
    <w:rsid w:val="00BF4BCC"/>
    <w:rsid w:val="00C61D44"/>
    <w:rsid w:val="00C64D23"/>
    <w:rsid w:val="00CC5FDF"/>
    <w:rsid w:val="00CC7A59"/>
    <w:rsid w:val="00CE47EA"/>
    <w:rsid w:val="00D86E3A"/>
    <w:rsid w:val="00D92BFA"/>
    <w:rsid w:val="00D95574"/>
    <w:rsid w:val="00DB1E7C"/>
    <w:rsid w:val="00DD0523"/>
    <w:rsid w:val="00DD1318"/>
    <w:rsid w:val="00E4309E"/>
    <w:rsid w:val="00E63956"/>
    <w:rsid w:val="00EA4F51"/>
    <w:rsid w:val="00EF2E3D"/>
    <w:rsid w:val="00F81BAC"/>
    <w:rsid w:val="00F9000E"/>
    <w:rsid w:val="00F93BAD"/>
    <w:rsid w:val="00FA6143"/>
    <w:rsid w:val="00FB219F"/>
    <w:rsid w:val="00FD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1D4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Heading3">
    <w:name w:val="heading 3"/>
    <w:basedOn w:val="Normal"/>
    <w:next w:val="Normln1"/>
    <w:link w:val="Heading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Heading4">
    <w:name w:val="heading 4"/>
    <w:basedOn w:val="Normal"/>
    <w:next w:val="Normln1"/>
    <w:link w:val="Heading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48B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E48B7"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1D44"/>
    <w:pPr>
      <w:ind w:left="540" w:hanging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C61D44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al"/>
    <w:uiPriority w:val="99"/>
    <w:rsid w:val="00C61D44"/>
    <w:pPr>
      <w:ind w:firstLine="709"/>
      <w:jc w:val="both"/>
    </w:pPr>
  </w:style>
  <w:style w:type="character" w:styleId="PageNumber">
    <w:name w:val="page number"/>
    <w:basedOn w:val="DefaultParagraphFont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7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400</Words>
  <Characters>2361</Characters>
  <Application>Microsoft Office Outlook</Application>
  <DocSecurity>0</DocSecurity>
  <Lines>0</Lines>
  <Paragraphs>0</Paragraphs>
  <ScaleCrop>false</ScaleCrop>
  <Company>---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Jiří Brož</cp:lastModifiedBy>
  <cp:revision>4</cp:revision>
  <cp:lastPrinted>2006-10-18T07:01:00Z</cp:lastPrinted>
  <dcterms:created xsi:type="dcterms:W3CDTF">2011-01-15T16:25:00Z</dcterms:created>
  <dcterms:modified xsi:type="dcterms:W3CDTF">2011-01-15T16:28:00Z</dcterms:modified>
</cp:coreProperties>
</file>